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D7" w:rsidRDefault="00A048D7" w:rsidP="00A048D7">
      <w:pPr>
        <w:pStyle w:val="Default"/>
      </w:pPr>
    </w:p>
    <w:p w:rsidR="00A048D7" w:rsidRDefault="00A048D7" w:rsidP="00515F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Key Stage 2 SATs R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sults</w:t>
      </w:r>
    </w:p>
    <w:p w:rsidR="00A048D7" w:rsidRDefault="00A048D7" w:rsidP="00A048D7">
      <w:pPr>
        <w:pStyle w:val="Default"/>
        <w:rPr>
          <w:color w:val="auto"/>
        </w:rPr>
      </w:pPr>
    </w:p>
    <w:p w:rsidR="00A048D7" w:rsidRDefault="00A048D7" w:rsidP="00A048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57</w:t>
      </w:r>
      <w:r>
        <w:rPr>
          <w:color w:val="auto"/>
          <w:sz w:val="20"/>
          <w:szCs w:val="20"/>
        </w:rPr>
        <w:t xml:space="preserve"> pupils were eligible to sit the national tests, therefore each ch</w:t>
      </w:r>
      <w:r>
        <w:rPr>
          <w:color w:val="auto"/>
          <w:sz w:val="20"/>
          <w:szCs w:val="20"/>
        </w:rPr>
        <w:t>ild equates to approx</w:t>
      </w:r>
      <w:r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mately 1.7</w:t>
      </w:r>
      <w:r>
        <w:rPr>
          <w:color w:val="auto"/>
          <w:sz w:val="20"/>
          <w:szCs w:val="20"/>
        </w:rPr>
        <w:t xml:space="preserve">%. </w:t>
      </w:r>
    </w:p>
    <w:p w:rsidR="00515F23" w:rsidRDefault="00515F23" w:rsidP="00A048D7">
      <w:pPr>
        <w:pStyle w:val="Default"/>
        <w:rPr>
          <w:color w:val="auto"/>
          <w:sz w:val="20"/>
          <w:szCs w:val="20"/>
        </w:rPr>
      </w:pPr>
    </w:p>
    <w:p w:rsidR="00A048D7" w:rsidRDefault="00A048D7" w:rsidP="00A048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Whole School results below include the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Year 6 children that were taught within our Small Specialist Class. We host this resource for pupils across Trafford who have a</w:t>
      </w:r>
      <w:r w:rsidR="00515F23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 xml:space="preserve"> EHC Plan for Special Educ</w:t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tional Needs. </w:t>
      </w:r>
      <w:r w:rsidR="00515F23">
        <w:rPr>
          <w:color w:val="auto"/>
          <w:sz w:val="20"/>
          <w:szCs w:val="20"/>
        </w:rPr>
        <w:t xml:space="preserve">These children were working below the level and unable to access </w:t>
      </w:r>
      <w:r>
        <w:rPr>
          <w:color w:val="auto"/>
          <w:sz w:val="20"/>
          <w:szCs w:val="20"/>
        </w:rPr>
        <w:t xml:space="preserve">the SATS tests. </w:t>
      </w:r>
    </w:p>
    <w:p w:rsidR="00515F23" w:rsidRDefault="00515F23" w:rsidP="00A048D7">
      <w:pPr>
        <w:pStyle w:val="Default"/>
        <w:rPr>
          <w:color w:val="auto"/>
          <w:sz w:val="20"/>
          <w:szCs w:val="20"/>
        </w:rPr>
      </w:pPr>
    </w:p>
    <w:p w:rsidR="00515F23" w:rsidRDefault="00515F23" w:rsidP="00A048D7">
      <w:pPr>
        <w:pStyle w:val="Default"/>
        <w:rPr>
          <w:color w:val="auto"/>
          <w:sz w:val="20"/>
          <w:szCs w:val="20"/>
        </w:rPr>
      </w:pPr>
    </w:p>
    <w:p w:rsidR="00515F23" w:rsidRDefault="00515F23" w:rsidP="00A048D7">
      <w:pPr>
        <w:pStyle w:val="Default"/>
        <w:rPr>
          <w:color w:val="auto"/>
          <w:sz w:val="20"/>
          <w:szCs w:val="20"/>
        </w:rPr>
      </w:pPr>
    </w:p>
    <w:p w:rsidR="00A048D7" w:rsidRDefault="00A048D7" w:rsidP="00A048D7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172"/>
        <w:gridCol w:w="2172"/>
      </w:tblGrid>
      <w:tr w:rsidR="00A048D7" w:rsidTr="00515F2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172" w:type="dxa"/>
          </w:tcPr>
          <w:p w:rsidR="00A048D7" w:rsidRDefault="00A048D7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Moorlands Ju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ior School</w:t>
            </w:r>
          </w:p>
        </w:tc>
        <w:tc>
          <w:tcPr>
            <w:tcW w:w="2172" w:type="dxa"/>
          </w:tcPr>
          <w:p w:rsidR="00A048D7" w:rsidRDefault="00A048D7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National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meeting the expected standard in reading, writing and maths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64.2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at greater depth in reading, writing and maths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A048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5F23">
              <w:rPr>
                <w:sz w:val="28"/>
                <w:szCs w:val="28"/>
              </w:rPr>
              <w:t>.7</w:t>
            </w:r>
            <w:r>
              <w:rPr>
                <w:sz w:val="28"/>
                <w:szCs w:val="28"/>
              </w:rPr>
              <w:t xml:space="preserve">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meeting the expected standard in reading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at greater depth in reading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meeting the expected standard in writing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at greater depth in writing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meeting the expected standard in maths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children at greater depth in maths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8D7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72" w:type="dxa"/>
          </w:tcPr>
          <w:p w:rsidR="00A048D7" w:rsidRDefault="00A048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23%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progress made in reading between KS1 and KS2 </w:t>
            </w:r>
          </w:p>
        </w:tc>
        <w:tc>
          <w:tcPr>
            <w:tcW w:w="2172" w:type="dxa"/>
          </w:tcPr>
          <w:p w:rsidR="00A048D7" w:rsidRDefault="00515F23" w:rsidP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+1.8</w:t>
            </w:r>
            <w:r w:rsidR="00A04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A048D7" w:rsidRDefault="00A048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progress made in writing between KS1 and KS2 </w:t>
            </w:r>
          </w:p>
        </w:tc>
        <w:tc>
          <w:tcPr>
            <w:tcW w:w="2172" w:type="dxa"/>
          </w:tcPr>
          <w:p w:rsidR="00A048D7" w:rsidRDefault="00515F23" w:rsidP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+1.2</w:t>
            </w:r>
            <w:r w:rsidR="00A04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A048D7" w:rsidRDefault="00A048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progress made in maths between KS1 and KS2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+0.2</w:t>
            </w:r>
            <w:r w:rsidR="00A04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A048D7" w:rsidRDefault="00A048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scale score in the reading test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A048D7">
              <w:rPr>
                <w:sz w:val="28"/>
                <w:szCs w:val="28"/>
              </w:rPr>
              <w:t xml:space="preserve"> </w:t>
            </w:r>
          </w:p>
        </w:tc>
      </w:tr>
      <w:tr w:rsidR="00A048D7" w:rsidTr="00515F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172" w:type="dxa"/>
          </w:tcPr>
          <w:p w:rsidR="00A048D7" w:rsidRDefault="00A048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scale score in the maths test 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72" w:type="dxa"/>
          </w:tcPr>
          <w:p w:rsidR="00A048D7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A048D7">
              <w:rPr>
                <w:sz w:val="28"/>
                <w:szCs w:val="28"/>
              </w:rPr>
              <w:t xml:space="preserve"> </w:t>
            </w:r>
          </w:p>
        </w:tc>
      </w:tr>
      <w:tr w:rsidR="00515F23" w:rsidTr="00515F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172" w:type="dxa"/>
          </w:tcPr>
          <w:p w:rsidR="00515F23" w:rsidRDefault="00515F23" w:rsidP="00515F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scale score in the </w:t>
            </w:r>
            <w:r>
              <w:rPr>
                <w:sz w:val="18"/>
                <w:szCs w:val="18"/>
              </w:rPr>
              <w:t>GPS</w:t>
            </w:r>
          </w:p>
        </w:tc>
        <w:tc>
          <w:tcPr>
            <w:tcW w:w="2172" w:type="dxa"/>
          </w:tcPr>
          <w:p w:rsidR="00515F23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72" w:type="dxa"/>
          </w:tcPr>
          <w:p w:rsidR="00515F23" w:rsidRDefault="00515F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bookmarkEnd w:id="0"/>
    </w:tbl>
    <w:p w:rsidR="00A048D7" w:rsidRDefault="00A048D7">
      <w:pPr>
        <w:spacing w:after="240"/>
        <w:rPr>
          <w:b/>
          <w:u w:val="single"/>
        </w:rPr>
      </w:pPr>
    </w:p>
    <w:p w:rsidR="00A048D7" w:rsidRDefault="00A048D7">
      <w:pPr>
        <w:spacing w:after="240"/>
        <w:rPr>
          <w:b/>
          <w:u w:val="single"/>
        </w:rPr>
      </w:pPr>
    </w:p>
    <w:p w:rsidR="00A048D7" w:rsidRDefault="00A048D7">
      <w:pPr>
        <w:spacing w:after="240"/>
        <w:rPr>
          <w:b/>
          <w:u w:val="single"/>
        </w:rPr>
      </w:pPr>
    </w:p>
    <w:p w:rsidR="00A048D7" w:rsidRDefault="00A048D7">
      <w:pPr>
        <w:spacing w:after="240"/>
        <w:rPr>
          <w:b/>
          <w:u w:val="single"/>
        </w:rPr>
      </w:pPr>
    </w:p>
    <w:p w:rsidR="00A048D7" w:rsidRDefault="00A048D7">
      <w:pPr>
        <w:spacing w:after="240"/>
        <w:rPr>
          <w:b/>
          <w:u w:val="single"/>
        </w:rPr>
      </w:pPr>
    </w:p>
    <w:sectPr w:rsidR="00A048D7">
      <w:footerReference w:type="default" r:id="rId8"/>
      <w:headerReference w:type="first" r:id="rId9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F7" w:rsidRDefault="00DC4391">
      <w:pPr>
        <w:spacing w:after="0" w:line="240" w:lineRule="auto"/>
      </w:pPr>
      <w:r>
        <w:separator/>
      </w:r>
    </w:p>
  </w:endnote>
  <w:endnote w:type="continuationSeparator" w:id="0">
    <w:p w:rsidR="004B36F7" w:rsidRDefault="00D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76" w:rsidRDefault="00DC4391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515F23">
      <w:rPr>
        <w:noProof/>
      </w:rPr>
      <w:t>3</w:t>
    </w:r>
    <w:r>
      <w:fldChar w:fldCharType="end"/>
    </w:r>
  </w:p>
  <w:p w:rsidR="00523C76" w:rsidRDefault="00515F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F7" w:rsidRDefault="00DC43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36F7" w:rsidRDefault="00DC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34" w:rsidRDefault="00577534" w:rsidP="00577534">
    <w:pPr>
      <w:pStyle w:val="DefaultText"/>
      <w:jc w:val="center"/>
      <w:rPr>
        <w:rFonts w:ascii="Arial" w:hAnsi="Arial" w:cs="Arial"/>
        <w:b/>
        <w:noProof/>
        <w:sz w:val="44"/>
        <w:szCs w:val="44"/>
        <w:lang w:val="en-GB" w:eastAsia="en-GB"/>
      </w:rPr>
    </w:pPr>
    <w:r w:rsidRPr="00B450EC">
      <w:rPr>
        <w:rFonts w:ascii="Arial" w:hAnsi="Arial" w:cs="Arial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60288" behindDoc="0" locked="0" layoutInCell="1" allowOverlap="1" wp14:anchorId="437A5EC4" wp14:editId="48926C87">
          <wp:simplePos x="0" y="0"/>
          <wp:positionH relativeFrom="column">
            <wp:posOffset>6128385</wp:posOffset>
          </wp:positionH>
          <wp:positionV relativeFrom="paragraph">
            <wp:posOffset>-146685</wp:posOffset>
          </wp:positionV>
          <wp:extent cx="507365" cy="472440"/>
          <wp:effectExtent l="0" t="0" r="6985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0EC">
      <w:rPr>
        <w:rFonts w:ascii="Arial" w:hAnsi="Arial" w:cs="Arial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0" locked="0" layoutInCell="1" allowOverlap="1" wp14:anchorId="345A6364" wp14:editId="0AA3BFD5">
          <wp:simplePos x="0" y="0"/>
          <wp:positionH relativeFrom="column">
            <wp:posOffset>-310515</wp:posOffset>
          </wp:positionH>
          <wp:positionV relativeFrom="paragraph">
            <wp:posOffset>-139065</wp:posOffset>
          </wp:positionV>
          <wp:extent cx="507365" cy="464820"/>
          <wp:effectExtent l="0" t="0" r="698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0EC">
      <w:rPr>
        <w:rFonts w:ascii="Arial" w:hAnsi="Arial" w:cs="Arial"/>
        <w:b/>
        <w:noProof/>
        <w:sz w:val="44"/>
        <w:szCs w:val="44"/>
        <w:lang w:val="en-GB" w:eastAsia="en-GB"/>
      </w:rPr>
      <w:t>Moorlands Junior School</w:t>
    </w:r>
  </w:p>
  <w:p w:rsidR="00577534" w:rsidRPr="00577534" w:rsidRDefault="00577534" w:rsidP="00577534">
    <w:pPr>
      <w:pStyle w:val="DefaultText"/>
      <w:jc w:val="center"/>
      <w:rPr>
        <w:rFonts w:ascii="Arial" w:hAnsi="Arial" w:cs="Arial"/>
        <w:b/>
        <w:noProof/>
        <w:sz w:val="44"/>
        <w:szCs w:val="44"/>
        <w:lang w:val="en-GB" w:eastAsia="en-GB"/>
      </w:rPr>
    </w:pPr>
    <w:r>
      <w:rPr>
        <w:rFonts w:ascii="Arial" w:hAnsi="Arial" w:cs="Arial"/>
        <w:b/>
        <w:noProof/>
        <w:sz w:val="44"/>
        <w:szCs w:val="44"/>
        <w:lang w:val="en-GB" w:eastAsia="en-GB"/>
      </w:rPr>
      <w:t>KS2 Interim Data September 2018</w:t>
    </w:r>
  </w:p>
  <w:p w:rsidR="00577534" w:rsidRPr="00577534" w:rsidRDefault="00577534" w:rsidP="00577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6C6"/>
    <w:multiLevelType w:val="multilevel"/>
    <w:tmpl w:val="C882C01C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">
    <w:nsid w:val="0D150950"/>
    <w:multiLevelType w:val="multilevel"/>
    <w:tmpl w:val="F7366D08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2">
    <w:nsid w:val="2AB40728"/>
    <w:multiLevelType w:val="multilevel"/>
    <w:tmpl w:val="7B8C0D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835B97"/>
    <w:multiLevelType w:val="multilevel"/>
    <w:tmpl w:val="FE302CD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53D1C55"/>
    <w:multiLevelType w:val="multilevel"/>
    <w:tmpl w:val="5B58A86E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31A7E57"/>
    <w:multiLevelType w:val="multilevel"/>
    <w:tmpl w:val="2E7A85B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9A75713"/>
    <w:multiLevelType w:val="multilevel"/>
    <w:tmpl w:val="7828F1F4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7">
    <w:nsid w:val="4CAD5175"/>
    <w:multiLevelType w:val="multilevel"/>
    <w:tmpl w:val="649AF90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CE126F8"/>
    <w:multiLevelType w:val="multilevel"/>
    <w:tmpl w:val="58E485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80B38F4"/>
    <w:multiLevelType w:val="multilevel"/>
    <w:tmpl w:val="4E186178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6B172026"/>
    <w:multiLevelType w:val="multilevel"/>
    <w:tmpl w:val="FB9E9DD8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FA6ED6"/>
    <w:multiLevelType w:val="multilevel"/>
    <w:tmpl w:val="8F8C716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CEE0E88"/>
    <w:multiLevelType w:val="multilevel"/>
    <w:tmpl w:val="752445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0F9"/>
    <w:rsid w:val="00036D9A"/>
    <w:rsid w:val="00133FF3"/>
    <w:rsid w:val="00134388"/>
    <w:rsid w:val="002E640D"/>
    <w:rsid w:val="004B36F7"/>
    <w:rsid w:val="00515F23"/>
    <w:rsid w:val="00577534"/>
    <w:rsid w:val="00593B4C"/>
    <w:rsid w:val="009A3BD9"/>
    <w:rsid w:val="00A048D7"/>
    <w:rsid w:val="00CF137B"/>
    <w:rsid w:val="00DC4391"/>
    <w:rsid w:val="00E41BC6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9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8"/>
      </w:numPr>
      <w:tabs>
        <w:tab w:val="left" w:pos="-7078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2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0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1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3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LFO3">
    <w:name w:val="LFO3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5">
    <w:name w:val="LFO5"/>
    <w:basedOn w:val="NoList"/>
    <w:pPr>
      <w:numPr>
        <w:numId w:val="10"/>
      </w:numPr>
    </w:pPr>
  </w:style>
  <w:style w:type="numbering" w:customStyle="1" w:styleId="LFO11">
    <w:name w:val="LFO11"/>
    <w:basedOn w:val="NoList"/>
    <w:pPr>
      <w:numPr>
        <w:numId w:val="11"/>
      </w:numPr>
    </w:pPr>
  </w:style>
  <w:style w:type="numbering" w:customStyle="1" w:styleId="LFO12">
    <w:name w:val="LFO12"/>
    <w:basedOn w:val="NoList"/>
    <w:pPr>
      <w:numPr>
        <w:numId w:val="12"/>
      </w:numPr>
    </w:pPr>
  </w:style>
  <w:style w:type="numbering" w:customStyle="1" w:styleId="LFO13">
    <w:name w:val="LFO13"/>
    <w:basedOn w:val="NoList"/>
    <w:pPr>
      <w:numPr>
        <w:numId w:val="13"/>
      </w:numPr>
    </w:pPr>
  </w:style>
  <w:style w:type="paragraph" w:customStyle="1" w:styleId="DefaultText">
    <w:name w:val="Default Text"/>
    <w:basedOn w:val="Normal"/>
    <w:rsid w:val="00577534"/>
    <w:pPr>
      <w:suppressAutoHyphens w:val="0"/>
      <w:overflowPunct w:val="0"/>
      <w:autoSpaceDE w:val="0"/>
      <w:adjustRightIn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Default">
    <w:name w:val="Default"/>
    <w:rsid w:val="00A048D7"/>
    <w:pPr>
      <w:autoSpaceDE w:val="0"/>
      <w:adjustRightInd w:val="0"/>
      <w:textAlignment w:val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9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8"/>
      </w:numPr>
      <w:tabs>
        <w:tab w:val="left" w:pos="-7078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2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0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1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3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LFO3">
    <w:name w:val="LFO3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5">
    <w:name w:val="LFO5"/>
    <w:basedOn w:val="NoList"/>
    <w:pPr>
      <w:numPr>
        <w:numId w:val="10"/>
      </w:numPr>
    </w:pPr>
  </w:style>
  <w:style w:type="numbering" w:customStyle="1" w:styleId="LFO11">
    <w:name w:val="LFO11"/>
    <w:basedOn w:val="NoList"/>
    <w:pPr>
      <w:numPr>
        <w:numId w:val="11"/>
      </w:numPr>
    </w:pPr>
  </w:style>
  <w:style w:type="numbering" w:customStyle="1" w:styleId="LFO12">
    <w:name w:val="LFO12"/>
    <w:basedOn w:val="NoList"/>
    <w:pPr>
      <w:numPr>
        <w:numId w:val="12"/>
      </w:numPr>
    </w:pPr>
  </w:style>
  <w:style w:type="numbering" w:customStyle="1" w:styleId="LFO13">
    <w:name w:val="LFO13"/>
    <w:basedOn w:val="NoList"/>
    <w:pPr>
      <w:numPr>
        <w:numId w:val="13"/>
      </w:numPr>
    </w:pPr>
  </w:style>
  <w:style w:type="paragraph" w:customStyle="1" w:styleId="DefaultText">
    <w:name w:val="Default Text"/>
    <w:basedOn w:val="Normal"/>
    <w:rsid w:val="00577534"/>
    <w:pPr>
      <w:suppressAutoHyphens w:val="0"/>
      <w:overflowPunct w:val="0"/>
      <w:autoSpaceDE w:val="0"/>
      <w:adjustRightIn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Default">
    <w:name w:val="Default"/>
    <w:rsid w:val="00A048D7"/>
    <w:pPr>
      <w:autoSpaceDE w:val="0"/>
      <w:adjustRightInd w:val="0"/>
      <w:textAlignment w:val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 comparative report template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 comparative report template</dc:title>
  <dc:creator>Publishing.TEAM@education.gsi.gov.uk</dc:creator>
  <dc:description>DfE-SD-V1.4</dc:description>
  <cp:lastModifiedBy>Alison Kelly</cp:lastModifiedBy>
  <cp:revision>3</cp:revision>
  <cp:lastPrinted>2018-09-12T09:12:00Z</cp:lastPrinted>
  <dcterms:created xsi:type="dcterms:W3CDTF">2018-09-21T14:22:00Z</dcterms:created>
  <dcterms:modified xsi:type="dcterms:W3CDTF">2018-09-21T14:29:00Z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0x01010061B827D2B2699C41B3D164C1E82366EB0400E184A83ADB9E1044922278051EC33A2C</vt:lpwstr>
  </property>
  <property fmtid="{D5CDD505-2E9C-101B-9397-08002B2CF9AE}" pid="4" name="_dlc_DocIdItemGuid">
    <vt:lpwstr>9408c4c2-5a34-400d-9531-f9790c51e5d3</vt:lpwstr>
  </property>
  <property fmtid="{D5CDD505-2E9C-101B-9397-08002B2CF9AE}" pid="5" name="Rights:ProtectiveMarking">
    <vt:lpwstr>3;#Official|0884c477-2e62-47ea-b19c-5af6e91124c5</vt:lpwstr>
  </property>
  <property fmtid="{D5CDD505-2E9C-101B-9397-08002B2CF9AE}" pid="6" name="Function">
    <vt:lpwstr/>
  </property>
  <property fmtid="{D5CDD505-2E9C-101B-9397-08002B2CF9AE}" pid="7" name="Subject1">
    <vt:lpwstr/>
  </property>
  <property fmtid="{D5CDD505-2E9C-101B-9397-08002B2CF9AE}" pid="8" name="SiteType">
    <vt:lpwstr/>
  </property>
  <property fmtid="{D5CDD505-2E9C-101B-9397-08002B2CF9AE}" pid="9" name="OrganisationalUnit">
    <vt:lpwstr>1;#STA|66576609-c685-49b2-8de0-b806a5dc4789</vt:lpwstr>
  </property>
  <property fmtid="{D5CDD505-2E9C-101B-9397-08002B2CF9AE}" pid="10" name="Owner">
    <vt:lpwstr>2;#STA|c8765260-e14a-4cab-860c-a8f6854ef79c</vt:lpwstr>
  </property>
</Properties>
</file>